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B3D" w:rsidRDefault="00511B3D" w:rsidP="00511B3D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B3D" w:rsidRDefault="00511B3D" w:rsidP="00511B3D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511B3D" w:rsidTr="00511B3D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511B3D" w:rsidTr="00511B3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511B3D" w:rsidTr="00511B3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VY_42_INOVACE_0612 Vlastnosti geometrické posloupnosti </w:t>
            </w:r>
          </w:p>
        </w:tc>
      </w:tr>
      <w:tr w:rsidR="00511B3D" w:rsidTr="00511B3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511B3D" w:rsidTr="00511B3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511B3D" w:rsidTr="00511B3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511B3D" w:rsidTr="00511B3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844779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23.3.</w:t>
            </w:r>
            <w:r w:rsidR="00511B3D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511B3D" w:rsidTr="00511B3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 rostoucí, klesající, zdola omezená, shora omezená</w:t>
            </w:r>
          </w:p>
        </w:tc>
      </w:tr>
      <w:tr w:rsidR="00511B3D" w:rsidTr="00511B3D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511B3D" w:rsidTr="00511B3D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1B3D" w:rsidRDefault="00511B3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511B3D" w:rsidRDefault="00511B3D">
      <w:pPr>
        <w:rPr>
          <w:rFonts w:eastAsiaTheme="minorEastAsia"/>
          <w:sz w:val="48"/>
          <w:szCs w:val="48"/>
        </w:rPr>
      </w:pPr>
    </w:p>
    <w:p w:rsidR="00511B3D" w:rsidRDefault="00511B3D">
      <w:pPr>
        <w:rPr>
          <w:rFonts w:eastAsiaTheme="minorEastAsia"/>
          <w:sz w:val="48"/>
          <w:szCs w:val="48"/>
        </w:rPr>
      </w:pPr>
    </w:p>
    <w:p w:rsidR="007735CD" w:rsidRPr="00844779" w:rsidRDefault="00844779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Vlastnosti geometrické posloupnosti</m:t>
          </m:r>
        </m:oMath>
      </m:oMathPara>
    </w:p>
    <w:p w:rsidR="001912ED" w:rsidRDefault="001912ED">
      <w:pPr>
        <w:rPr>
          <w:rFonts w:eastAsiaTheme="minorEastAsia"/>
          <w:sz w:val="24"/>
          <w:szCs w:val="24"/>
        </w:rPr>
      </w:pPr>
    </w:p>
    <w:p w:rsidR="004650F4" w:rsidRPr="001912ED" w:rsidRDefault="004650F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ZADÁNÍ</m:t>
          </m:r>
        </m:oMath>
      </m:oMathPara>
    </w:p>
    <w:p w:rsidR="004650F4" w:rsidRPr="004650F4" w:rsidRDefault="004650F4" w:rsidP="00114573">
      <w:pPr>
        <w:spacing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 Zobrazte v soustavě souřadnic prní čtyři členy geometrické posloupnosti. </m:t>
          </m:r>
        </m:oMath>
      </m:oMathPara>
    </w:p>
    <w:p w:rsidR="004650F4" w:rsidRPr="004650F4" w:rsidRDefault="004650F4" w:rsidP="00114573">
      <w:pPr>
        <w:spacing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Rozhodněte, zda je posloupnost rostoucí nebo klesající.</m:t>
          </m:r>
        </m:oMath>
      </m:oMathPara>
    </w:p>
    <w:p w:rsidR="004650F4" w:rsidRPr="004650F4" w:rsidRDefault="004650F4" w:rsidP="00114573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a)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=0,2;      q=2</m:t>
          </m:r>
        </m:oMath>
      </m:oMathPara>
    </w:p>
    <w:p w:rsidR="00311C4F" w:rsidRPr="00311C4F" w:rsidRDefault="00311C4F" w:rsidP="00114573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b)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 xml:space="preserve">;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=-0,3;   q=-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</m:oMath>
      </m:oMathPara>
    </w:p>
    <w:p w:rsidR="001912ED" w:rsidRPr="00854517" w:rsidRDefault="00854517" w:rsidP="00114573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c) 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 xml:space="preserve">;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=-0,5;   q=2</m:t>
          </m:r>
        </m:oMath>
      </m:oMathPara>
    </w:p>
    <w:p w:rsidR="00337F8D" w:rsidRPr="002E0654" w:rsidRDefault="00337F8D" w:rsidP="00337F8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 Zobrazte v soustavě souřadnic prvních pět členů geometrické posloupnosti</m:t>
          </m:r>
        </m:oMath>
      </m:oMathPara>
    </w:p>
    <w:p w:rsidR="00337F8D" w:rsidRPr="002E0654" w:rsidRDefault="00337F8D" w:rsidP="00337F8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a u</m:t>
          </m:r>
          <m:r>
            <w:rPr>
              <w:rFonts w:ascii="Cambria Math" w:eastAsiaTheme="minorEastAsia" w:hAnsi="Cambria Math"/>
              <w:sz w:val="24"/>
              <w:szCs w:val="24"/>
            </w:rPr>
            <m:t>rčete  omezenost posloupnosti. Do grafu zaokrouhlete čísla na desetiny.</m:t>
          </m:r>
        </m:oMath>
      </m:oMathPara>
    </w:p>
    <w:p w:rsidR="00854517" w:rsidRPr="00C10777" w:rsidRDefault="00C10777" w:rsidP="00114573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a)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=1,5;   q=1,5</m:t>
          </m:r>
        </m:oMath>
      </m:oMathPara>
    </w:p>
    <w:p w:rsidR="00C10777" w:rsidRPr="00C10777" w:rsidRDefault="00C10777" w:rsidP="00114573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b)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;  q=2</m:t>
          </m:r>
        </m:oMath>
      </m:oMathPara>
    </w:p>
    <w:p w:rsidR="00114573" w:rsidRDefault="00114573">
      <w:pPr>
        <w:rPr>
          <w:rFonts w:eastAsiaTheme="minorEastAsia"/>
          <w:sz w:val="24"/>
          <w:szCs w:val="24"/>
        </w:rPr>
      </w:pPr>
    </w:p>
    <w:p w:rsidR="004650F4" w:rsidRPr="00311C4F" w:rsidRDefault="00311C4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311C4F" w:rsidRPr="00D13D1F" w:rsidRDefault="00114573" w:rsidP="00311C4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  a) Posloupnost je ROSTOUCÍ.</m:t>
          </m:r>
        </m:oMath>
      </m:oMathPara>
    </w:p>
    <w:p w:rsidR="00BB2B99" w:rsidRPr="00BB2B99" w:rsidRDefault="00BB2B9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0,2; 0,4; 0,8; 1,6;…………</m:t>
              </m:r>
            </m:e>
          </m:d>
        </m:oMath>
      </m:oMathPara>
    </w:p>
    <w:p w:rsidR="00114573" w:rsidRPr="00114573" w:rsidRDefault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b)  Posloupnost není ani rostouucí ani klesající, střídají se záporné a kladné </m:t>
          </m:r>
        </m:oMath>
      </m:oMathPara>
    </w:p>
    <w:p w:rsidR="00311C4F" w:rsidRPr="00114573" w:rsidRDefault="0011457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hodnoty po sobě následujících členů posloupnosti.</m:t>
          </m:r>
        </m:oMath>
      </m:oMathPara>
    </w:p>
    <w:p w:rsidR="00311C4F" w:rsidRPr="00BB2B99" w:rsidRDefault="00BB2B9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;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; 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;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………   </m:t>
              </m:r>
            </m:e>
          </m:d>
        </m:oMath>
      </m:oMathPara>
    </w:p>
    <w:p w:rsidR="00F3279A" w:rsidRPr="00F3279A" w:rsidRDefault="00BB2B9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c)  Posloupnost je KLESAJÍCÍ.</m:t>
          </m:r>
        </m:oMath>
      </m:oMathPara>
    </w:p>
    <w:p w:rsidR="00311C4F" w:rsidRPr="00114573" w:rsidRDefault="00F3279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-0,5; -1; -2; -4;……… </m:t>
              </m:r>
            </m:e>
          </m:d>
        </m:oMath>
      </m:oMathPara>
    </w:p>
    <w:p w:rsidR="00114573" w:rsidRPr="00BB2B99" w:rsidRDefault="00114573">
      <w:pPr>
        <w:rPr>
          <w:rFonts w:eastAsiaTheme="minorEastAsia"/>
          <w:sz w:val="24"/>
          <w:szCs w:val="24"/>
        </w:rPr>
      </w:pPr>
    </w:p>
    <w:p w:rsidR="00BF6EC6" w:rsidRPr="00BF6EC6" w:rsidRDefault="0011457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a)  Posloupnost je zdola omezená, není shora omezená, je rostoucí.   </m:t>
          </m:r>
        </m:oMath>
      </m:oMathPara>
    </w:p>
    <w:p w:rsidR="00F3279A" w:rsidRPr="00F3279A" w:rsidRDefault="00BF6EC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1,5;  2,3;  3,4;  5,1;  7,6;……… </m:t>
              </m:r>
            </m:e>
          </m:d>
        </m:oMath>
      </m:oMathPara>
    </w:p>
    <w:p w:rsidR="00BF6EC6" w:rsidRPr="00BF6EC6" w:rsidRDefault="00BF6EC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b)  Posloupnost je shora omezená, není zdola ome</m:t>
          </m:r>
          <m:r>
            <w:rPr>
              <w:rFonts w:ascii="Cambria Math" w:eastAsiaTheme="minorEastAsia" w:hAnsi="Cambria Math"/>
              <w:sz w:val="24"/>
              <w:szCs w:val="24"/>
            </w:rPr>
            <m:t>zená, je klesající.</m:t>
          </m:r>
        </m:oMath>
      </m:oMathPara>
    </w:p>
    <w:p w:rsidR="00BF6EC6" w:rsidRPr="00114573" w:rsidRDefault="00BF6EC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; 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; -1; -2; -4;………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114573" w:rsidRPr="00BF6EC6" w:rsidRDefault="00114573">
      <w:pPr>
        <w:rPr>
          <w:rFonts w:eastAsiaTheme="minorEastAsia"/>
          <w:sz w:val="24"/>
          <w:szCs w:val="24"/>
        </w:rPr>
      </w:pPr>
    </w:p>
    <w:p w:rsidR="00311C4F" w:rsidRPr="00311C4F" w:rsidRDefault="00311C4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ŘEŠENÍ</m:t>
          </m:r>
        </m:oMath>
      </m:oMathPara>
    </w:p>
    <w:p w:rsidR="00311C4F" w:rsidRPr="004650F4" w:rsidRDefault="00311C4F" w:rsidP="00311C4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  Zobrazte v soustavě souřadnic prní čtyři členy geometrické posloupnosti. </m:t>
          </m:r>
        </m:oMath>
      </m:oMathPara>
    </w:p>
    <w:p w:rsidR="00311C4F" w:rsidRPr="004650F4" w:rsidRDefault="00311C4F" w:rsidP="00311C4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Rozhodněte, zda j</m:t>
          </m:r>
          <m:r>
            <w:rPr>
              <w:rFonts w:ascii="Cambria Math" w:hAnsi="Cambria Math"/>
              <w:sz w:val="24"/>
              <w:szCs w:val="24"/>
            </w:rPr>
            <m:t>e posloupnost rostoucí nebo klesající.</m:t>
          </m:r>
        </m:oMath>
      </m:oMathPara>
    </w:p>
    <w:p w:rsidR="00311C4F" w:rsidRPr="004650F4" w:rsidRDefault="00311C4F" w:rsidP="00311C4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a)</m:t>
          </m:r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=0,2;   q=2</m:t>
          </m:r>
        </m:oMath>
      </m:oMathPara>
    </w:p>
    <w:p w:rsidR="00311C4F" w:rsidRPr="00D13D1F" w:rsidRDefault="00311C4F" w:rsidP="00311C4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Posloupnost je ROSTOUCÍ, neboť  platí:</m:t>
          </m:r>
        </m:oMath>
      </m:oMathPara>
    </w:p>
    <w:p w:rsidR="00311C4F" w:rsidRPr="004650F4" w:rsidRDefault="00311C4F" w:rsidP="00311C4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∎posloupnost je rostoucí, právě když  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&gt;0 a q&gt;1</m:t>
              </m:r>
            </m:e>
          </m:bar>
        </m:oMath>
      </m:oMathPara>
    </w:p>
    <w:p w:rsidR="00311C4F" w:rsidRPr="003C322C" w:rsidRDefault="00311C4F" w:rsidP="00311C4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∎posloupnost je rostoucí, neboť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&gt;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</m:oMath>
      </m:oMathPara>
    </w:p>
    <w:p w:rsidR="003C322C" w:rsidRPr="00BB2B99" w:rsidRDefault="003C322C" w:rsidP="00311C4F">
      <w:pPr>
        <w:rPr>
          <w:rFonts w:eastAsiaTheme="minorEastAsia"/>
          <w:sz w:val="24"/>
          <w:szCs w:val="24"/>
        </w:rPr>
      </w:pPr>
    </w:p>
    <w:p w:rsidR="00BB2B99" w:rsidRPr="00BB2B99" w:rsidRDefault="00BB2B99" w:rsidP="00311C4F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=0,2</m:t>
          </m:r>
        </m:oMath>
      </m:oMathPara>
    </w:p>
    <w:p w:rsidR="001912ED" w:rsidRPr="001912ED" w:rsidRDefault="001912E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∙q=0,2∙2=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0,4</m:t>
          </m:r>
        </m:oMath>
      </m:oMathPara>
    </w:p>
    <w:p w:rsidR="001912ED" w:rsidRPr="001912ED" w:rsidRDefault="001912E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=0,8</m:t>
          </m:r>
        </m:oMath>
      </m:oMathPara>
    </w:p>
    <w:p w:rsidR="001912ED" w:rsidRPr="003C322C" w:rsidRDefault="001912E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=1,6</m:t>
          </m:r>
        </m:oMath>
      </m:oMathPara>
    </w:p>
    <w:p w:rsidR="003C322C" w:rsidRDefault="003C322C">
      <w:pPr>
        <w:rPr>
          <w:rFonts w:eastAsiaTheme="minorEastAsia"/>
          <w:b/>
          <w:sz w:val="24"/>
          <w:szCs w:val="24"/>
        </w:rPr>
      </w:pPr>
    </w:p>
    <w:p w:rsidR="00663E70" w:rsidRPr="00BB2B99" w:rsidRDefault="00663E70">
      <w:pPr>
        <w:rPr>
          <w:rFonts w:eastAsiaTheme="minorEastAsia"/>
          <w:sz w:val="24"/>
          <w:szCs w:val="24"/>
        </w:rPr>
      </w:pPr>
      <w:r w:rsidRPr="00663E70">
        <w:rPr>
          <w:rFonts w:eastAsiaTheme="minorEastAsia"/>
          <w:noProof/>
          <w:sz w:val="24"/>
          <w:szCs w:val="24"/>
          <w:lang w:eastAsia="cs-CZ"/>
        </w:rPr>
        <w:drawing>
          <wp:inline distT="0" distB="0" distL="0" distR="0">
            <wp:extent cx="4572000" cy="2743200"/>
            <wp:effectExtent l="0" t="0" r="0" b="0"/>
            <wp:docPr id="2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912ED" w:rsidRPr="001912ED" w:rsidRDefault="00844779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311C4F" w:rsidRPr="001912ED" w:rsidRDefault="001912E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 b)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 xml:space="preserve">;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=-0,3;   q=-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</m:oMath>
      </m:oMathPara>
    </w:p>
    <w:p w:rsidR="001912ED" w:rsidRPr="00BB2B99" w:rsidRDefault="001912E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=-0,3   </m:t>
          </m:r>
        </m:oMath>
      </m:oMathPara>
    </w:p>
    <w:p w:rsidR="001912ED" w:rsidRPr="001912ED" w:rsidRDefault="001912E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0,2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854517" w:rsidRPr="00854517" w:rsidRDefault="001912E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1912ED" w:rsidRPr="00854517" w:rsidRDefault="00854517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45</m:t>
              </m:r>
            </m:den>
          </m:f>
        </m:oMath>
      </m:oMathPara>
    </w:p>
    <w:p w:rsidR="00114573" w:rsidRPr="00114573" w:rsidRDefault="00854517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Posloupnost není ani rostouucí ani klesající, střídají se záporné a kladné</m:t>
          </m:r>
        </m:oMath>
      </m:oMathPara>
    </w:p>
    <w:p w:rsidR="00854517" w:rsidRDefault="00114573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hodnoty po sobě následujících členů posloupnosti.</m:t>
          </m:r>
        </m:oMath>
      </m:oMathPara>
    </w:p>
    <w:p w:rsidR="00840C7B" w:rsidRPr="00114573" w:rsidRDefault="00840C7B" w:rsidP="00854517">
      <w:pPr>
        <w:rPr>
          <w:rFonts w:eastAsiaTheme="minorEastAsia"/>
          <w:sz w:val="24"/>
          <w:szCs w:val="24"/>
        </w:rPr>
      </w:pPr>
      <w:r w:rsidRPr="00840C7B">
        <w:rPr>
          <w:rFonts w:eastAsiaTheme="minorEastAsia"/>
          <w:noProof/>
          <w:sz w:val="24"/>
          <w:szCs w:val="24"/>
          <w:lang w:eastAsia="cs-CZ"/>
        </w:rPr>
        <w:drawing>
          <wp:inline distT="0" distB="0" distL="0" distR="0">
            <wp:extent cx="4572000" cy="2743200"/>
            <wp:effectExtent l="0" t="0" r="0" b="0"/>
            <wp:docPr id="4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54517" w:rsidRDefault="00844779" w:rsidP="00854517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854517" w:rsidRPr="00854517" w:rsidRDefault="00854517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c) </m:t>
          </m:r>
          <m:sSubSup>
            <m:sSub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d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∞</m:t>
              </m:r>
            </m:sup>
          </m:sSubSup>
          <m:r>
            <w:rPr>
              <w:rFonts w:ascii="Cambria Math" w:eastAsiaTheme="minorEastAsia" w:hAnsi="Cambria Math"/>
              <w:sz w:val="24"/>
              <w:szCs w:val="24"/>
            </w:rPr>
            <m:t xml:space="preserve">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=-0,5;   q=2</m:t>
          </m:r>
        </m:oMath>
      </m:oMathPara>
    </w:p>
    <w:p w:rsidR="00AC4C20" w:rsidRPr="00AC4C20" w:rsidRDefault="00854517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Posloupnost je KLESAJÍCÍ, neboť  platí:</m:t>
          </m:r>
        </m:oMath>
      </m:oMathPara>
    </w:p>
    <w:p w:rsidR="00854517" w:rsidRPr="00854517" w:rsidRDefault="00854517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∎</m:t>
          </m:r>
          <m:r>
            <w:rPr>
              <w:rFonts w:ascii="Cambria Math" w:hAnsi="Cambria Math"/>
              <w:sz w:val="24"/>
              <w:szCs w:val="24"/>
            </w:rPr>
            <m:t xml:space="preserve">posloupnost je klesající, právě když  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&lt;0 a q&gt;1</m:t>
              </m:r>
            </m:e>
          </m:bar>
        </m:oMath>
      </m:oMathPara>
    </w:p>
    <w:p w:rsidR="00854517" w:rsidRPr="00BB2B99" w:rsidRDefault="00AC4C20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∎posloupnost je klesající, neboť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n+1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&lt;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</m:oMath>
      </m:oMathPara>
    </w:p>
    <w:p w:rsidR="00BB2B99" w:rsidRPr="00BB2B99" w:rsidRDefault="00BB2B99" w:rsidP="00854517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=-0,5</m:t>
          </m:r>
        </m:oMath>
      </m:oMathPara>
    </w:p>
    <w:p w:rsidR="00AC4C20" w:rsidRPr="00AC4C20" w:rsidRDefault="00AC4C20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∙q=-0,5∙2=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-1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AC4C20" w:rsidRPr="00AC4C20" w:rsidRDefault="00AC4C20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=-1∙2=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-2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AC4C20" w:rsidRDefault="00AC4C20" w:rsidP="00854517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=-2∙2=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-4</m:t>
          </m:r>
        </m:oMath>
      </m:oMathPara>
    </w:p>
    <w:p w:rsidR="00601555" w:rsidRPr="00EA6E90" w:rsidRDefault="00601555" w:rsidP="00854517">
      <w:pPr>
        <w:rPr>
          <w:rFonts w:eastAsiaTheme="minorEastAsia"/>
          <w:b/>
          <w:sz w:val="24"/>
          <w:szCs w:val="24"/>
        </w:rPr>
      </w:pPr>
      <w:r w:rsidRPr="00601555">
        <w:rPr>
          <w:rFonts w:eastAsiaTheme="minorEastAsia"/>
          <w:b/>
          <w:noProof/>
          <w:sz w:val="24"/>
          <w:szCs w:val="24"/>
          <w:lang w:eastAsia="cs-CZ"/>
        </w:rPr>
        <w:lastRenderedPageBreak/>
        <w:drawing>
          <wp:inline distT="0" distB="0" distL="0" distR="0">
            <wp:extent cx="4572000" cy="2743200"/>
            <wp:effectExtent l="0" t="0" r="0" b="0"/>
            <wp:docPr id="5" name="Graf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3279A" w:rsidRDefault="00844779" w:rsidP="00854517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2E0654" w:rsidRPr="002E0654" w:rsidRDefault="00EA6E90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 Zobrazte v soustavě souřadnic prvních pět členů geometrické posloupnosti</m:t>
          </m:r>
        </m:oMath>
      </m:oMathPara>
    </w:p>
    <w:p w:rsidR="00EA6E90" w:rsidRPr="002E0654" w:rsidRDefault="002E0654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a určete  omezenost posloupnosti. Do grafu zaokrouhlete čísla na desetiny.</m:t>
          </m:r>
        </m:oMath>
      </m:oMathPara>
    </w:p>
    <w:p w:rsidR="002E0654" w:rsidRPr="002E0654" w:rsidRDefault="002E0654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a)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=1,5</m:t>
          </m:r>
          <m:r>
            <w:rPr>
              <w:rFonts w:ascii="Cambria Math" w:eastAsiaTheme="minorEastAsia" w:hAnsi="Cambria Math"/>
              <w:sz w:val="24"/>
              <w:szCs w:val="24"/>
            </w:rPr>
            <m:t>;   q=1,5</m:t>
          </m:r>
        </m:oMath>
      </m:oMathPara>
    </w:p>
    <w:p w:rsidR="002E0654" w:rsidRPr="002E0654" w:rsidRDefault="002E0654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=1,5∙1,5=2,25≐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2,3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</m:oMath>
      </m:oMathPara>
    </w:p>
    <w:p w:rsidR="00F3279A" w:rsidRPr="00F3279A" w:rsidRDefault="002E0654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=2,25∙1,5=3,375≐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3,4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</m:oMath>
      </m:oMathPara>
    </w:p>
    <w:p w:rsidR="00F3279A" w:rsidRPr="00F3279A" w:rsidRDefault="00F3279A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=3,375∙1,5=5,0625≐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5,1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</m:t>
          </m:r>
        </m:oMath>
      </m:oMathPara>
    </w:p>
    <w:p w:rsidR="002E0654" w:rsidRPr="002E0654" w:rsidRDefault="00F3279A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=5,0625∙1,5=7,59375≐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7,6</m:t>
          </m:r>
        </m:oMath>
      </m:oMathPara>
    </w:p>
    <w:p w:rsidR="000C47D6" w:rsidRDefault="00BF6EC6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Posloupnost je zdola omezená, není shora omezená, je rostoucí.   </m:t>
          </m:r>
        </m:oMath>
      </m:oMathPara>
    </w:p>
    <w:p w:rsidR="00601555" w:rsidRPr="00BF6EC6" w:rsidRDefault="00601555" w:rsidP="00854517">
      <w:pPr>
        <w:rPr>
          <w:rFonts w:eastAsiaTheme="minorEastAsia"/>
          <w:sz w:val="24"/>
          <w:szCs w:val="24"/>
        </w:rPr>
      </w:pPr>
      <w:r w:rsidRPr="00601555">
        <w:rPr>
          <w:rFonts w:eastAsiaTheme="minorEastAsia"/>
          <w:noProof/>
          <w:sz w:val="24"/>
          <w:szCs w:val="24"/>
          <w:lang w:eastAsia="cs-CZ"/>
        </w:rPr>
        <w:drawing>
          <wp:inline distT="0" distB="0" distL="0" distR="0">
            <wp:extent cx="4572000" cy="2743200"/>
            <wp:effectExtent l="0" t="0" r="0" b="0"/>
            <wp:docPr id="6" name="Graf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F6EC6" w:rsidRPr="00BF6EC6" w:rsidRDefault="00C10777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 b)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q=2       </m:t>
          </m:r>
        </m:oMath>
      </m:oMathPara>
    </w:p>
    <w:p w:rsidR="00BF6EC6" w:rsidRPr="00BF6EC6" w:rsidRDefault="00BF6EC6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∙2=-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</m:oMath>
      </m:oMathPara>
    </w:p>
    <w:p w:rsidR="00BF6EC6" w:rsidRPr="00BF6EC6" w:rsidRDefault="00BF6EC6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-1 </m:t>
          </m:r>
        </m:oMath>
      </m:oMathPara>
    </w:p>
    <w:p w:rsidR="00BF6EC6" w:rsidRPr="00BF6EC6" w:rsidRDefault="00BF6EC6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-2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BF6EC6" w:rsidRPr="00BF6EC6" w:rsidRDefault="00BF6EC6" w:rsidP="00854517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-4      </m:t>
          </m:r>
        </m:oMath>
      </m:oMathPara>
    </w:p>
    <w:p w:rsidR="002E0654" w:rsidRDefault="00BF6EC6" w:rsidP="0085451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Posloupnost je shora omezená, není zdola omezená, je klesající.</m:t>
          </m:r>
        </m:oMath>
      </m:oMathPara>
    </w:p>
    <w:p w:rsidR="003B2A38" w:rsidRPr="00BF6EC6" w:rsidRDefault="003B2A38" w:rsidP="00854517">
      <w:pPr>
        <w:rPr>
          <w:rFonts w:eastAsiaTheme="minorEastAsia"/>
          <w:sz w:val="24"/>
          <w:szCs w:val="24"/>
        </w:rPr>
      </w:pPr>
      <w:r w:rsidRPr="003B2A38">
        <w:rPr>
          <w:rFonts w:eastAsiaTheme="minorEastAsia"/>
          <w:noProof/>
          <w:sz w:val="24"/>
          <w:szCs w:val="24"/>
          <w:lang w:eastAsia="cs-CZ"/>
        </w:rPr>
        <w:drawing>
          <wp:inline distT="0" distB="0" distL="0" distR="0">
            <wp:extent cx="4572000" cy="2743200"/>
            <wp:effectExtent l="0" t="0" r="0" b="0"/>
            <wp:docPr id="7" name="Graf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Start w:id="0" w:name="_GoBack"/>
      <w:bookmarkEnd w:id="0"/>
    </w:p>
    <w:sectPr w:rsidR="003B2A38" w:rsidRPr="00BF6EC6" w:rsidSect="001142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650F4"/>
    <w:rsid w:val="00047FE3"/>
    <w:rsid w:val="000C47D6"/>
    <w:rsid w:val="00114248"/>
    <w:rsid w:val="00114573"/>
    <w:rsid w:val="001912ED"/>
    <w:rsid w:val="001C0724"/>
    <w:rsid w:val="002E0654"/>
    <w:rsid w:val="00311C4F"/>
    <w:rsid w:val="00337F8D"/>
    <w:rsid w:val="003B2A38"/>
    <w:rsid w:val="003C322C"/>
    <w:rsid w:val="004650F4"/>
    <w:rsid w:val="00474036"/>
    <w:rsid w:val="00511B3D"/>
    <w:rsid w:val="00601555"/>
    <w:rsid w:val="00663E70"/>
    <w:rsid w:val="007735CD"/>
    <w:rsid w:val="00840C7B"/>
    <w:rsid w:val="00844779"/>
    <w:rsid w:val="00854517"/>
    <w:rsid w:val="00A05E4A"/>
    <w:rsid w:val="00AC4C20"/>
    <w:rsid w:val="00BB2B99"/>
    <w:rsid w:val="00BF6EC6"/>
    <w:rsid w:val="00C10777"/>
    <w:rsid w:val="00D13D1F"/>
    <w:rsid w:val="00EA6E90"/>
    <w:rsid w:val="00EC1E24"/>
    <w:rsid w:val="00F3279A"/>
    <w:rsid w:val="00FB53AB"/>
    <w:rsid w:val="00FE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42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650F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65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650F4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511B3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650F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65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65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3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hart" Target="charts/chart5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Se&#353;it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Se&#353;it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Se&#353;it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Se&#353;it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Se&#353;it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cs-CZ" sz="1200"/>
                      <a:t>a</a:t>
                    </a:r>
                    <a:r>
                      <a:rPr lang="cs-CZ" sz="1200" baseline="-25000"/>
                      <a:t>1</a:t>
                    </a:r>
                    <a:endParaRPr lang="en-US" sz="1200" baseline="-2500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cs-CZ" sz="1200"/>
                      <a:t>a</a:t>
                    </a:r>
                    <a:r>
                      <a:rPr lang="cs-CZ" baseline="-25000"/>
                      <a:t>2</a:t>
                    </a:r>
                    <a:endParaRPr lang="en-US" baseline="-2500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cs-CZ" sz="1200"/>
                      <a:t>a</a:t>
                    </a:r>
                    <a:r>
                      <a:rPr lang="cs-CZ" baseline="-25000"/>
                      <a:t>3</a:t>
                    </a:r>
                    <a:endParaRPr lang="en-US" baseline="-2500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cs-CZ" sz="1200"/>
                      <a:t>a</a:t>
                    </a:r>
                    <a:r>
                      <a:rPr lang="cs-CZ" baseline="-25000"/>
                      <a:t>4</a:t>
                    </a:r>
                    <a:endParaRPr lang="en-US" baseline="-2500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strRef>
              <c:f>List1!$B$3:$E$3</c:f>
              <c:strCache>
                <c:ptCount val="4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</c:strCache>
            </c:strRef>
          </c:xVal>
          <c:yVal>
            <c:numRef>
              <c:f>List1!$B$4:$E$4</c:f>
              <c:numCache>
                <c:formatCode>General</c:formatCode>
                <c:ptCount val="4"/>
                <c:pt idx="0">
                  <c:v>0.2</c:v>
                </c:pt>
                <c:pt idx="1">
                  <c:v>0.4</c:v>
                </c:pt>
                <c:pt idx="2">
                  <c:v>0.8</c:v>
                </c:pt>
                <c:pt idx="3">
                  <c:v>1.6</c:v>
                </c:pt>
              </c:numCache>
            </c:numRef>
          </c:y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43386880"/>
        <c:axId val="143384576"/>
      </c:scatterChart>
      <c:valAx>
        <c:axId val="1433868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n</a:t>
                </a:r>
              </a:p>
            </c:rich>
          </c:tx>
          <c:layout>
            <c:manualLayout>
              <c:xMode val="edge"/>
              <c:yMode val="edge"/>
              <c:x val="0.89646719160104882"/>
              <c:y val="0.87868037328667326"/>
            </c:manualLayout>
          </c:layout>
          <c:overlay val="0"/>
        </c:title>
        <c:majorTickMark val="out"/>
        <c:minorTickMark val="none"/>
        <c:tickLblPos val="nextTo"/>
        <c:crossAx val="143384576"/>
        <c:crosses val="autoZero"/>
        <c:crossBetween val="midCat"/>
      </c:valAx>
      <c:valAx>
        <c:axId val="14338457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1200"/>
                </a:pPr>
                <a:r>
                  <a:rPr lang="en-US" sz="1200"/>
                  <a:t>a</a:t>
                </a:r>
                <a:r>
                  <a:rPr lang="en-US" sz="1200" baseline="-25000"/>
                  <a:t>n</a:t>
                </a:r>
              </a:p>
            </c:rich>
          </c:tx>
          <c:layout>
            <c:manualLayout>
              <c:xMode val="edge"/>
              <c:yMode val="edge"/>
              <c:x val="2.2222222222222251E-2"/>
              <c:y val="4.5464785651793543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43386880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cs-CZ" sz="1200"/>
                      <a:t>b</a:t>
                    </a:r>
                    <a:r>
                      <a:rPr lang="cs-CZ" baseline="-25000"/>
                      <a:t>1</a:t>
                    </a:r>
                    <a:endParaRPr lang="en-US" baseline="-25000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cs-CZ" sz="1200"/>
                      <a:t>b</a:t>
                    </a:r>
                    <a:r>
                      <a:rPr lang="cs-CZ" baseline="-25000"/>
                      <a:t>2</a:t>
                    </a:r>
                    <a:endParaRPr lang="en-US" baseline="-25000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cs-CZ" sz="1200"/>
                      <a:t>b</a:t>
                    </a:r>
                    <a:r>
                      <a:rPr lang="cs-CZ" baseline="-25000"/>
                      <a:t>3</a:t>
                    </a:r>
                    <a:endParaRPr lang="en-US" baseline="-25000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200"/>
                      <a:t> </a:t>
                    </a:r>
                    <a:r>
                      <a:rPr lang="en-US"/>
                      <a:t> </a:t>
                    </a:r>
                    <a:r>
                      <a:rPr lang="cs-CZ"/>
                      <a:t>b</a:t>
                    </a:r>
                    <a:r>
                      <a:rPr lang="cs-CZ" baseline="-25000"/>
                      <a:t>4</a:t>
                    </a:r>
                    <a:endParaRPr lang="en-US" baseline="-25000"/>
                  </a:p>
                </c:rich>
              </c:tx>
              <c:dLblPos val="l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strRef>
              <c:f>List2!$B$2:$E$2</c:f>
              <c:strCache>
                <c:ptCount val="4"/>
                <c:pt idx="0">
                  <c:v>b1</c:v>
                </c:pt>
                <c:pt idx="1">
                  <c:v>b2</c:v>
                </c:pt>
                <c:pt idx="2">
                  <c:v>b3</c:v>
                </c:pt>
                <c:pt idx="3">
                  <c:v>b4</c:v>
                </c:pt>
              </c:strCache>
            </c:strRef>
          </c:xVal>
          <c:yVal>
            <c:numRef>
              <c:f>List2!$B$3:$E$3</c:f>
              <c:numCache>
                <c:formatCode>General</c:formatCode>
                <c:ptCount val="4"/>
                <c:pt idx="0">
                  <c:v>-0.30000000000000016</c:v>
                </c:pt>
                <c:pt idx="1">
                  <c:v>0.2</c:v>
                </c:pt>
                <c:pt idx="2" formatCode="#\ ??/??">
                  <c:v>-0.13333333333333341</c:v>
                </c:pt>
                <c:pt idx="3" formatCode="#\ ??/??">
                  <c:v>8.8888888888888934E-2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3388608"/>
        <c:axId val="143389184"/>
      </c:scatterChart>
      <c:valAx>
        <c:axId val="1433886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n</a:t>
                </a:r>
              </a:p>
            </c:rich>
          </c:tx>
          <c:layout>
            <c:manualLayout>
              <c:xMode val="edge"/>
              <c:yMode val="edge"/>
              <c:x val="0.86698731408573915"/>
              <c:y val="0.89050925925925928"/>
            </c:manualLayout>
          </c:layout>
          <c:overlay val="0"/>
        </c:title>
        <c:majorTickMark val="out"/>
        <c:minorTickMark val="none"/>
        <c:tickLblPos val="nextTo"/>
        <c:crossAx val="143389184"/>
        <c:crosses val="autoZero"/>
        <c:crossBetween val="midCat"/>
      </c:valAx>
      <c:valAx>
        <c:axId val="14338918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1200"/>
                </a:pPr>
                <a:r>
                  <a:rPr lang="en-US" sz="1200"/>
                  <a:t>b</a:t>
                </a:r>
                <a:r>
                  <a:rPr lang="en-US" sz="1200" baseline="-25000"/>
                  <a:t>n</a:t>
                </a:r>
              </a:p>
            </c:rich>
          </c:tx>
          <c:layout>
            <c:manualLayout>
              <c:xMode val="edge"/>
              <c:yMode val="edge"/>
              <c:x val="2.2222222222222251E-2"/>
              <c:y val="7.0254447360746569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43388608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cs-CZ" sz="1200"/>
                      <a:t>c</a:t>
                    </a:r>
                    <a:r>
                      <a:rPr lang="cs-CZ" baseline="-25000"/>
                      <a:t>1</a:t>
                    </a:r>
                    <a:endParaRPr lang="en-US" baseline="-2500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tx>
                <c:rich>
                  <a:bodyPr/>
                  <a:lstStyle/>
                  <a:p>
                    <a:r>
                      <a:rPr lang="cs-CZ" sz="1200"/>
                      <a:t>c</a:t>
                    </a:r>
                    <a:r>
                      <a:rPr lang="cs-CZ" baseline="-25000"/>
                      <a:t>2</a:t>
                    </a:r>
                    <a:endParaRPr lang="en-US" baseline="-2500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tx>
                <c:rich>
                  <a:bodyPr/>
                  <a:lstStyle/>
                  <a:p>
                    <a:r>
                      <a:rPr lang="cs-CZ" sz="1200"/>
                      <a:t>c</a:t>
                    </a:r>
                    <a:r>
                      <a:rPr lang="cs-CZ" baseline="-25000"/>
                      <a:t>3</a:t>
                    </a:r>
                    <a:endParaRPr lang="en-US" baseline="-2500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882108486439175E-2"/>
                  <c:y val="-7.0948891805190928E-2"/>
                </c:manualLayout>
              </c:layout>
              <c:tx>
                <c:rich>
                  <a:bodyPr/>
                  <a:lstStyle/>
                  <a:p>
                    <a:r>
                      <a:rPr lang="cs-CZ" sz="1200"/>
                      <a:t>c</a:t>
                    </a:r>
                    <a:r>
                      <a:rPr lang="cs-CZ" baseline="-25000"/>
                      <a:t>4</a:t>
                    </a:r>
                    <a:endParaRPr lang="en-US" baseline="-250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strRef>
              <c:f>List3!$B$2:$E$2</c:f>
              <c:strCache>
                <c:ptCount val="4"/>
                <c:pt idx="0">
                  <c:v>c1</c:v>
                </c:pt>
                <c:pt idx="1">
                  <c:v>c2</c:v>
                </c:pt>
                <c:pt idx="2">
                  <c:v>c3</c:v>
                </c:pt>
                <c:pt idx="3">
                  <c:v>c4</c:v>
                </c:pt>
              </c:strCache>
            </c:strRef>
          </c:xVal>
          <c:yVal>
            <c:numRef>
              <c:f>List3!$B$3:$E$3</c:f>
              <c:numCache>
                <c:formatCode>General</c:formatCode>
                <c:ptCount val="4"/>
                <c:pt idx="0">
                  <c:v>-0.5</c:v>
                </c:pt>
                <c:pt idx="1">
                  <c:v>-1</c:v>
                </c:pt>
                <c:pt idx="2">
                  <c:v>-2</c:v>
                </c:pt>
                <c:pt idx="3">
                  <c:v>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3390912"/>
        <c:axId val="143391488"/>
      </c:scatterChart>
      <c:valAx>
        <c:axId val="1433909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n</a:t>
                </a:r>
              </a:p>
            </c:rich>
          </c:tx>
          <c:layout>
            <c:manualLayout>
              <c:xMode val="edge"/>
              <c:yMode val="edge"/>
              <c:x val="0.87057064741907375"/>
              <c:y val="0.88124999999999998"/>
            </c:manualLayout>
          </c:layout>
          <c:overlay val="0"/>
        </c:title>
        <c:majorTickMark val="out"/>
        <c:minorTickMark val="none"/>
        <c:tickLblPos val="high"/>
        <c:crossAx val="143391488"/>
        <c:crosses val="autoZero"/>
        <c:crossBetween val="midCat"/>
      </c:valAx>
      <c:valAx>
        <c:axId val="14339148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1200"/>
                </a:pPr>
                <a:r>
                  <a:rPr lang="en-US" sz="1200"/>
                  <a:t>c</a:t>
                </a:r>
                <a:r>
                  <a:rPr lang="en-US" sz="1200" baseline="-25000"/>
                  <a:t>n</a:t>
                </a:r>
              </a:p>
            </c:rich>
          </c:tx>
          <c:layout>
            <c:manualLayout>
              <c:xMode val="edge"/>
              <c:yMode val="edge"/>
              <c:x val="2.2222222222222251E-2"/>
              <c:y val="0.1035742927967337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43390912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cs-CZ"/>
                      <a:t>a</a:t>
                    </a:r>
                    <a:r>
                      <a:rPr lang="cs-CZ" baseline="-25000"/>
                      <a:t>1</a:t>
                    </a:r>
                    <a:endParaRPr lang="en-US" baseline="-2500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229221347331587E-2"/>
                  <c:y val="-5.7060002916302137E-2"/>
                </c:manualLayout>
              </c:layout>
              <c:tx>
                <c:rich>
                  <a:bodyPr/>
                  <a:lstStyle/>
                  <a:p>
                    <a:r>
                      <a:rPr lang="cs-CZ"/>
                      <a:t>a</a:t>
                    </a:r>
                    <a:r>
                      <a:rPr lang="cs-CZ" baseline="-25000"/>
                      <a:t>2</a:t>
                    </a:r>
                    <a:endParaRPr lang="en-US" baseline="-250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666666666666664E-2"/>
                  <c:y val="-7.8703703703703734E-2"/>
                </c:manualLayout>
              </c:layout>
              <c:tx>
                <c:rich>
                  <a:bodyPr/>
                  <a:lstStyle/>
                  <a:p>
                    <a:r>
                      <a:rPr lang="cs-CZ"/>
                      <a:t>a</a:t>
                    </a:r>
                    <a:r>
                      <a:rPr lang="cs-CZ" baseline="-25000"/>
                      <a:t>3</a:t>
                    </a:r>
                    <a:endParaRPr lang="en-US" baseline="-250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tx>
                <c:rich>
                  <a:bodyPr/>
                  <a:lstStyle/>
                  <a:p>
                    <a:r>
                      <a:rPr lang="cs-CZ"/>
                      <a:t>a</a:t>
                    </a:r>
                    <a:r>
                      <a:rPr lang="cs-CZ" baseline="-25000"/>
                      <a:t>4</a:t>
                    </a:r>
                    <a:endParaRPr lang="en-US" baseline="-2500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7.3340332458442792E-2"/>
                  <c:y val="-5.0335374744823625E-3"/>
                </c:manualLayout>
              </c:layout>
              <c:tx>
                <c:rich>
                  <a:bodyPr/>
                  <a:lstStyle/>
                  <a:p>
                    <a:r>
                      <a:rPr lang="cs-CZ"/>
                      <a:t>a</a:t>
                    </a:r>
                    <a:r>
                      <a:rPr lang="cs-CZ" baseline="-25000"/>
                      <a:t>5</a:t>
                    </a:r>
                    <a:endParaRPr lang="en-US" baseline="-250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strRef>
              <c:f>List4!$B$2:$F$2</c:f>
              <c:strCache>
                <c:ptCount val="5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  <c:pt idx="4">
                  <c:v>a5</c:v>
                </c:pt>
              </c:strCache>
            </c:strRef>
          </c:xVal>
          <c:yVal>
            <c:numRef>
              <c:f>List4!$B$3:$F$3</c:f>
              <c:numCache>
                <c:formatCode>General</c:formatCode>
                <c:ptCount val="5"/>
                <c:pt idx="0">
                  <c:v>1.5</c:v>
                </c:pt>
                <c:pt idx="1">
                  <c:v>2.2999999999999998</c:v>
                </c:pt>
                <c:pt idx="2">
                  <c:v>3.4</c:v>
                </c:pt>
                <c:pt idx="3">
                  <c:v>5.0999999999999996</c:v>
                </c:pt>
                <c:pt idx="4">
                  <c:v>7.6</c:v>
                </c:pt>
              </c:numCache>
            </c:numRef>
          </c:y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185262656"/>
        <c:axId val="185263232"/>
      </c:scatterChart>
      <c:valAx>
        <c:axId val="1852626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n</a:t>
                </a:r>
              </a:p>
            </c:rich>
          </c:tx>
          <c:layout>
            <c:manualLayout>
              <c:xMode val="edge"/>
              <c:yMode val="edge"/>
              <c:x val="0.87651509186351761"/>
              <c:y val="0.86736111111111114"/>
            </c:manualLayout>
          </c:layout>
          <c:overlay val="0"/>
        </c:title>
        <c:majorTickMark val="out"/>
        <c:minorTickMark val="none"/>
        <c:tickLblPos val="nextTo"/>
        <c:crossAx val="185263232"/>
        <c:crosses val="autoZero"/>
        <c:crossBetween val="midCat"/>
      </c:valAx>
      <c:valAx>
        <c:axId val="18526323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1200"/>
                </a:pPr>
                <a:r>
                  <a:rPr lang="en-US" sz="1200"/>
                  <a:t>a</a:t>
                </a:r>
                <a:r>
                  <a:rPr lang="en-US" sz="1200" baseline="-25000"/>
                  <a:t>n</a:t>
                </a:r>
              </a:p>
            </c:rich>
          </c:tx>
          <c:layout>
            <c:manualLayout>
              <c:xMode val="edge"/>
              <c:yMode val="edge"/>
              <c:x val="1.6666666666666687E-2"/>
              <c:y val="6.677274715660543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85262656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cs-CZ" sz="1200"/>
                      <a:t>a</a:t>
                    </a:r>
                    <a:r>
                      <a:rPr lang="cs-CZ" baseline="-25000"/>
                      <a:t>1</a:t>
                    </a:r>
                    <a:endParaRPr lang="en-US" baseline="-25000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006999125109431E-2"/>
                  <c:y val="4.7801108194808976E-2"/>
                </c:manualLayout>
              </c:layout>
              <c:tx>
                <c:rich>
                  <a:bodyPr/>
                  <a:lstStyle/>
                  <a:p>
                    <a:r>
                      <a:rPr lang="cs-CZ" sz="1200"/>
                      <a:t>a</a:t>
                    </a:r>
                    <a:r>
                      <a:rPr lang="cs-CZ" baseline="-25000"/>
                      <a:t>2</a:t>
                    </a:r>
                    <a:endParaRPr lang="en-US" baseline="-250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006999125109431E-2"/>
                  <c:y val="5.2430373286672501E-2"/>
                </c:manualLayout>
              </c:layout>
              <c:tx>
                <c:rich>
                  <a:bodyPr/>
                  <a:lstStyle/>
                  <a:p>
                    <a:r>
                      <a:rPr lang="cs-CZ" sz="1200"/>
                      <a:t>a</a:t>
                    </a:r>
                    <a:r>
                      <a:rPr lang="cs-CZ" baseline="-25000"/>
                      <a:t>3</a:t>
                    </a:r>
                    <a:endParaRPr lang="en-US" baseline="-250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784776902887185E-2"/>
                  <c:y val="5.7060367454068332E-2"/>
                </c:manualLayout>
              </c:layout>
              <c:tx>
                <c:rich>
                  <a:bodyPr/>
                  <a:lstStyle/>
                  <a:p>
                    <a:r>
                      <a:rPr lang="cs-CZ" sz="1200"/>
                      <a:t>a</a:t>
                    </a:r>
                    <a:r>
                      <a:rPr lang="cs-CZ" baseline="-25000"/>
                      <a:t>4</a:t>
                    </a:r>
                    <a:endParaRPr lang="en-US" baseline="-250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006999125109431E-2"/>
                  <c:y val="5.24307378244388E-2"/>
                </c:manualLayout>
              </c:layout>
              <c:tx>
                <c:rich>
                  <a:bodyPr/>
                  <a:lstStyle/>
                  <a:p>
                    <a:r>
                      <a:rPr lang="cs-CZ" sz="1200"/>
                      <a:t>a</a:t>
                    </a:r>
                    <a:r>
                      <a:rPr lang="cs-CZ" baseline="-25000"/>
                      <a:t>5</a:t>
                    </a:r>
                    <a:endParaRPr lang="en-US" baseline="-250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cs-CZ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strRef>
              <c:f>List5!$B$2:$F$2</c:f>
              <c:strCache>
                <c:ptCount val="5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  <c:pt idx="4">
                  <c:v>a5</c:v>
                </c:pt>
              </c:strCache>
            </c:strRef>
          </c:xVal>
          <c:yVal>
            <c:numRef>
              <c:f>List5!$B$3:$F$3</c:f>
              <c:numCache>
                <c:formatCode>#\ ?/?</c:formatCode>
                <c:ptCount val="5"/>
                <c:pt idx="0">
                  <c:v>-0.25</c:v>
                </c:pt>
                <c:pt idx="1">
                  <c:v>-0.5</c:v>
                </c:pt>
                <c:pt idx="2" formatCode="General">
                  <c:v>-1</c:v>
                </c:pt>
                <c:pt idx="3" formatCode="General">
                  <c:v>-2</c:v>
                </c:pt>
                <c:pt idx="4" formatCode="General">
                  <c:v>-4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5264960"/>
        <c:axId val="185265536"/>
      </c:scatterChart>
      <c:valAx>
        <c:axId val="1852649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n</a:t>
                </a:r>
              </a:p>
            </c:rich>
          </c:tx>
          <c:layout>
            <c:manualLayout>
              <c:xMode val="edge"/>
              <c:yMode val="edge"/>
              <c:x val="0.88390398075240506"/>
              <c:y val="0.89050925925925928"/>
            </c:manualLayout>
          </c:layout>
          <c:overlay val="0"/>
        </c:title>
        <c:majorTickMark val="out"/>
        <c:minorTickMark val="none"/>
        <c:tickLblPos val="high"/>
        <c:crossAx val="185265536"/>
        <c:crosses val="autoZero"/>
        <c:crossBetween val="midCat"/>
      </c:valAx>
      <c:valAx>
        <c:axId val="18526553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1200"/>
                </a:pPr>
                <a:r>
                  <a:rPr lang="en-US" sz="1200"/>
                  <a:t>a</a:t>
                </a:r>
                <a:r>
                  <a:rPr lang="en-US" sz="1200" baseline="-25000"/>
                  <a:t>n</a:t>
                </a:r>
              </a:p>
            </c:rich>
          </c:tx>
          <c:layout>
            <c:manualLayout>
              <c:xMode val="edge"/>
              <c:yMode val="edge"/>
              <c:x val="3.0555555555555579E-2"/>
              <c:y val="7.1284631087780714E-2"/>
            </c:manualLayout>
          </c:layout>
          <c:overlay val="0"/>
        </c:title>
        <c:numFmt formatCode="#\ ?/?" sourceLinked="1"/>
        <c:majorTickMark val="out"/>
        <c:minorTickMark val="none"/>
        <c:tickLblPos val="nextTo"/>
        <c:crossAx val="185264960"/>
        <c:crosses val="autoZero"/>
        <c:crossBetween val="midCat"/>
        <c:majorUnit val="0.5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677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Bělíková</dc:creator>
  <cp:lastModifiedBy>Admin</cp:lastModifiedBy>
  <cp:revision>7</cp:revision>
  <dcterms:created xsi:type="dcterms:W3CDTF">2014-06-21T17:55:00Z</dcterms:created>
  <dcterms:modified xsi:type="dcterms:W3CDTF">2014-10-07T21:27:00Z</dcterms:modified>
</cp:coreProperties>
</file>